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2011/65 vom 11. März 2011</w:t>
      </w:r>
    </w:p>
    <w:p>
      <w:r>
        <w:t>Sg Versicherungsgericht, 2011-03-11, DE</w:t>
      </w:r>
    </w:p>
    <w:p>
      <w:r>
        <w:rPr>
          <w:b/>
        </w:rPr>
        <w:t xml:space="preserve">Quelle: </w:t>
      </w:r>
      <w:r>
        <w:t>https://mcp.opencaselaw.ch/entscheid/sg_publikationen_AVI 2011_65</w:t>
      </w:r>
    </w:p>
    <w:p>
      <w:r>
        <w:t>FR: SG_VERSICHERUNGSGERICHT AVI 2011/65 du 11 mars 2011</w:t>
      </w:r>
    </w:p>
    <w:p>
      <w:r>
        <w:t>IT: SG_VERSICHERUNGSGERICHT AVI 2011/65 del 11 marzo 2011</w:t>
      </w:r>
    </w:p>
    <w:p>
      <w:pPr>
        <w:pStyle w:val="Heading2"/>
      </w:pPr>
      <w:r>
        <w:t>Regeste</w:t>
      </w:r>
    </w:p>
    <w:p>
      <w:r>
        <w:t>Art. 31 Abs. 3 lit. c AVIG. Anspruch auf Arbeitslosenentschädigung einer Versicherten, die im Betrieb ihres seit mehreren Jahren getrennt lebenden Ehemanns mitarbeitete (Entscheid des Versicherungsgerichts des Kantons St. Gallen vom 11. April 2012, AVI 2011/65).Präsidentin Lisbeth Mattle Frei, Versicherungsrichter Joachim Huber,Versicherungsrichterin Marie Löhrer; a.o. Gerichtsschreiberin Annina BaltisserEntscheid vom 11. April 2012in SachenA.___,Beschwerdeführerin,gegenSYNA Arbeitslosenkasse, Zentralverwaltung, Josefstrasse 59, Postfach, 8031 Zürich,Beschwerdegegnerin,betreffendArbeitslosenentschädigung (arbeitgeberähnliche Stellung)Sachverhalt:</w:t>
      </w:r>
    </w:p>
    <w:p>
      <w:pPr>
        <w:pStyle w:val="Heading2"/>
      </w:pPr>
      <w:r>
        <w:t>Erwägungen</w:t>
      </w:r>
    </w:p>
    <w:p>
      <w:r>
        <w:rPr>
          <w:b/>
        </w:rPr>
        <w:t>E. 1</w:t>
      </w:r>
    </w:p>
    <w:p>
      <w:r>
        <w:t>Streitig und vorliegend zu prüfen ist, ob eine arbeitgeberähnliche Stellung vorliegt, welche einem Anspruch der Beschwerdeführerin auf Arbeitslosenentschädigung ent­gegensteht.</w:t>
      </w:r>
    </w:p>
    <w:p>
      <w:r>
        <w:rPr>
          <w:b/>
        </w:rPr>
        <w:t>E. 2</w:t>
      </w:r>
    </w:p>
    <w:p>
      <w:r>
        <w:t>2.1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2.2    In BGE 123 V 234 ff. hat das damalige Eidgenössische Versicherungsgericht (EVG; seit 1. Januar 2007: Sozialrechtliche Abteilungen des Bundesgerichts)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 Arbeitnehmer resp. eine Arbeitnehmerin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Dabei ist das Datum des effektiven Ausscheidens massgebend, nicht dasjenige der Löschung im Handelsregister oder der Publikation im Schweizerischen Handels­amtsblatt (Urteil des EVG vom 22. August 2003, C 36/03, E. 3, mit Hinweis).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 Werde die unternehmerische Dispositionsfreiheit, das Unternehmen jederzeit zu reaktivieren und sich bei Bedarf erneut als Arbeitnehmer oder als Arbeitnehmerin einzustellen, erhalten, laufe dies auf die rechtsmissbräuchliche Umgehung von Art. 31 Abs. 3 lit. c AVIG hinaus, welche Regelung ihrem Sinne nach der Miss­brauchsverhütung diene und dabei insbesondere dem Umstand Rechnung tragen wolle, dass der Arbeitsausfall arbeitgeberähnlicher Personen praktisch nicht kontrollierbar sei, da sie ihn aufgrund ihrer Stellung bestimmen oder massgeblich beeinflussen könnten (BGE 123 V 238 E. 7b/bb).</w:t>
      </w:r>
    </w:p>
    <w:p>
      <w:r>
        <w:rPr>
          <w:b/>
        </w:rPr>
        <w:t>E. 3</w:t>
      </w:r>
    </w:p>
    <w:p>
      <w:r>
        <w:t>3.1    Der Ehemann der Beschwerdeführerin ist Geschäftsführer der B.___, bei welcher diese seit dem 1. Februar 2010 bis zur Auflösung des Arbeitsverhältnisses per 31. Januar 2011 (act. G 5/14) gearbeitet hatte. Am 21. Mai 2011 stellte die Beschwerdeführerin ein Begehren um Regelung des Getrenntlebens (act. G 5/51). An der Hauptverhandlung vom 26. Mai 2011 des gerichtlichen Eheschutzverfahren kamen die Parteien gemäss Entscheid des Kreisgerichtes Wil vom 26. Mai 2011 überein, sie würden seit Januar 2008 getrennt leben (act. G 5/56, S. 2, E. 1.1). 3.2    Bei (vormals) im Betrieb mitarbeitenden Ehegatten von Arbeitgebern besteht gemäss Rz B23 des Kreisschreibens über die Arbeitslosenentschädigung (KS ALE, in der seit Januar 2007 gültigen Fassung) ab Datum einer Scheidung, richterlichen Trennung oder vom Richter verfügten Eheschutzmassnahmen Anspruch auf Arbeitslosenentschädigung (vgl. zudem die Entscheide des Versicherungsgerichts des Kantons St. Gallen vom 9. Februar 2009, AVI 2008/58, E. 2, sowie vom 9. Mai 2009, AVI 2008/66). 3.3    Da die Beschwerdeführerin bereits seit Januar 2008 von ihrem Ehegatten getrennt lebt, ist davon auszugehen, dass der Trennung nicht bloss vorübergehender Charakter zukommt und die Beschwerdeführerin keinerlei Einfluss in Unternehmensentscheidungen ihres getrennt lebenden Ehemannes mehr nehmen kann, zumal sie seit 18. Februar 2011 auch formell aus der Gesellschaft ausgeschieden ist und zudem lediglich Minderheitsgesellschafterin war (vgl. act. G 5/31). Ein Wiedereinstieg, sei es als Mitarbeiterin oder als Gesellschafterin, ist unter Berücksichtigung aller Umstände nicht wahrscheinlich. Die Beschwerdeführerin hat in der Beschwerde (act. G 3) auch glaubhaft dargelegt, dass die Kündigung aus persönlichen und nicht strukturellen Gründen erfolgte. Es ist somit ab dem Zeitpunkt des Eheschutzentscheides vom 26. Mai 2011 überwiegend wahrscheinlich, dass die Beschwerdeführerin aus dem Betrieb des Ehemanns definitiv ausgeschieden ist. 3.4    Entsprechend kommt ein Anspruch auf Arbeitslosenentschädigung ab dem 26. Mai 2011 in Frage. Bezüglich der Zeit vom 2. Februar 2011 (Antragstellung, act. G 5/1) bis und mit 25. Mai 2011 hat die Beschwerdegegnerin den Taggeldanspruch hingegen zu Recht abgelehnt. Weil im Rahmen des Einspracheentscheids einzig die Frage der arbeitgeberähnlichen Stellung bzw. der mitarbeitenden Ehegattin im Betrieb des Ehemannes geprüft worden ist, ist die Sache zur Prüfung der übrigen Voraussetzungen für den Anspruch auf Arbeitslosenentschädigung an die Beschwerdegegnerin zurückzuweisen. Hierbei drängen sich insbesondere mit Blick auf das Vorliegen einer überprüfbaren beitragspflichtigen Beschäftigung und den versicherten Verdienst ergänzende Abklärungen auf. Zu prüfen sind in diesem Zusammenhang namentlich die tatsächlichen Verhältnisse seit der faktischen Trennung im Januar 2008 bis zur Auflösung des Arbeitsverhältnisses. Insbesondere ist fraglich, was für Arbeiten die Beschwerdeführerin im Betrieb des Ehemannes ausführte und in welchem Umfang sie tätig war. Aus den Akten geht hervor, dass die Beschwerdeführerin in diesem Zeitraum u.a. eine berufsbegleitende Ausbildung absolvierte, die sie im März 2011 abgeschlossen hat (vgl. act. G 1.1). Ausserdem stellt sich die Frage, ob und wie weit die Alimentenzahlungen des Ehemannes zusätzlich zum Lohn der Beschwerdeführerin erfolgten und nicht etwa (teilweise) durch Lohnzahlungen abgegolten wurden. Diesbezüglich werden allenfalls die Akten des Eheschutzverfahrens sowie Steuerakten beizuziehen sein.</w:t>
      </w:r>
    </w:p>
    <w:p>
      <w:r>
        <w:rPr>
          <w:b/>
        </w:rPr>
        <w:t>E. 4</w:t>
      </w:r>
    </w:p>
    <w:p>
      <w:r>
        <w:t>4.1    In teilweiser Gutheissung der Beschwerde ist der angefochtene Einspracheentscheid vom 28. Juli 2011 aufzuheben. Die Sache ist im Sinne der Erwägungen zur Prüfung der übrigen Voraussetzungen für den Anspruch auf Arbeitslosenentschädigung ab 26. Mai 2011 an die Beschwerdegegnerin zurückzuweisen. 4.2    Gerichtskosten sind keine zu erheben (Art. 61 lit. a ATSG). Demgemäss hat das Versicherungsgericht entschieden: 1.       In teilweiser Gutheissung der Beschwerde wird der Einspracheentscheid vom 28. Juli 2011 aufgehoben und die Sache im Sinne der Erwägungen zur Abklärung der weiteren Anspruchsvoraussetzungen ab 26. Mai 2011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